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89C" w:rsidRDefault="00FD589C" w:rsidP="00FD589C">
      <w:pPr>
        <w:pStyle w:val="Title"/>
      </w:pPr>
      <w:bookmarkStart w:id="0" w:name="_GoBack"/>
      <w:bookmarkEnd w:id="0"/>
      <w:r>
        <w:t>Results for female cohort and sensitivity analyses</w:t>
      </w:r>
      <w:r w:rsidR="005E6227">
        <w:tab/>
      </w:r>
    </w:p>
    <w:p w:rsidR="00241F43" w:rsidRPr="00241F43" w:rsidRDefault="00241F43">
      <w:pPr>
        <w:rPr>
          <w:b/>
        </w:rPr>
      </w:pPr>
      <w:r w:rsidRPr="00241F43">
        <w:rPr>
          <w:b/>
        </w:rPr>
        <w:t>Introduction</w:t>
      </w:r>
    </w:p>
    <w:p w:rsidR="00FD589C" w:rsidRDefault="00FD589C">
      <w:r>
        <w:t>This supplementary file contains equivalent Figures to Figure</w:t>
      </w:r>
      <w:r w:rsidR="0024653A">
        <w:t>s</w:t>
      </w:r>
      <w:r>
        <w:t xml:space="preserve"> </w:t>
      </w:r>
      <w:r w:rsidR="0024653A">
        <w:t xml:space="preserve">4 and 5 </w:t>
      </w:r>
      <w:r>
        <w:t>from the main manuscript for the female cohort, and for the male and female cohort in scenarios where relative rate associated with statin treatment was reduced to 0.65 and 0.6, and when treatment periods consisting of only one statin prescription were removed from the cohort. For the primary analysis done on the female cohort, we also provide equivalent illustrative examples to the ones provided in the main paper.</w:t>
      </w:r>
    </w:p>
    <w:p w:rsidR="00520D44" w:rsidRPr="00241F43" w:rsidRDefault="00241F43">
      <w:pPr>
        <w:rPr>
          <w:b/>
        </w:rPr>
      </w:pPr>
      <w:r>
        <w:rPr>
          <w:b/>
        </w:rPr>
        <w:t>Key for supplementary figures</w:t>
      </w:r>
    </w:p>
    <w:tbl>
      <w:tblPr>
        <w:tblStyle w:val="TableGrid"/>
        <w:tblW w:w="9242" w:type="dxa"/>
        <w:tblLayout w:type="fixed"/>
        <w:tblLook w:val="04A0" w:firstRow="1" w:lastRow="0" w:firstColumn="1" w:lastColumn="0" w:noHBand="0" w:noVBand="1"/>
      </w:tblPr>
      <w:tblGrid>
        <w:gridCol w:w="2660"/>
        <w:gridCol w:w="992"/>
        <w:gridCol w:w="1367"/>
        <w:gridCol w:w="2035"/>
        <w:gridCol w:w="1276"/>
        <w:gridCol w:w="912"/>
      </w:tblGrid>
      <w:tr w:rsidR="00295901" w:rsidTr="00295901">
        <w:tc>
          <w:tcPr>
            <w:tcW w:w="2660" w:type="dxa"/>
          </w:tcPr>
          <w:p w:rsidR="00295901" w:rsidRDefault="00295901" w:rsidP="00297EB1"/>
        </w:tc>
        <w:tc>
          <w:tcPr>
            <w:tcW w:w="992" w:type="dxa"/>
          </w:tcPr>
          <w:p w:rsidR="00295901" w:rsidRDefault="00295901" w:rsidP="00297EB1">
            <w:r>
              <w:t>Gender</w:t>
            </w:r>
          </w:p>
        </w:tc>
        <w:tc>
          <w:tcPr>
            <w:tcW w:w="1367" w:type="dxa"/>
          </w:tcPr>
          <w:p w:rsidR="00295901" w:rsidRDefault="00295901" w:rsidP="00297EB1">
            <w:r>
              <w:t>Adherence rate</w:t>
            </w:r>
          </w:p>
        </w:tc>
        <w:tc>
          <w:tcPr>
            <w:tcW w:w="2035" w:type="dxa"/>
          </w:tcPr>
          <w:p w:rsidR="00295901" w:rsidRDefault="00295901" w:rsidP="00297EB1">
            <w:r>
              <w:t>Single prescriptions removed</w:t>
            </w:r>
          </w:p>
        </w:tc>
        <w:tc>
          <w:tcPr>
            <w:tcW w:w="1276" w:type="dxa"/>
          </w:tcPr>
          <w:p w:rsidR="00295901" w:rsidRDefault="00295901" w:rsidP="00297EB1">
            <w:r>
              <w:t>RR of statin</w:t>
            </w:r>
          </w:p>
        </w:tc>
        <w:tc>
          <w:tcPr>
            <w:tcW w:w="912" w:type="dxa"/>
          </w:tcPr>
          <w:p w:rsidR="00295901" w:rsidRDefault="00295901" w:rsidP="00297EB1">
            <w:r>
              <w:t>Page</w:t>
            </w:r>
          </w:p>
        </w:tc>
      </w:tr>
      <w:tr w:rsidR="00295901" w:rsidTr="00295901">
        <w:tc>
          <w:tcPr>
            <w:tcW w:w="2660" w:type="dxa"/>
          </w:tcPr>
          <w:p w:rsidR="00295901" w:rsidRDefault="00295901" w:rsidP="00297EB1">
            <w:r>
              <w:t>Figure 1 – primary analysis for female cohort</w:t>
            </w:r>
          </w:p>
        </w:tc>
        <w:tc>
          <w:tcPr>
            <w:tcW w:w="992" w:type="dxa"/>
          </w:tcPr>
          <w:p w:rsidR="00295901" w:rsidRDefault="00295901" w:rsidP="00297EB1">
            <w:r>
              <w:t>F</w:t>
            </w:r>
          </w:p>
        </w:tc>
        <w:tc>
          <w:tcPr>
            <w:tcW w:w="1367" w:type="dxa"/>
          </w:tcPr>
          <w:p w:rsidR="00295901" w:rsidRDefault="00295901" w:rsidP="00297EB1">
            <w:r>
              <w:t>CPRD</w:t>
            </w:r>
          </w:p>
        </w:tc>
        <w:tc>
          <w:tcPr>
            <w:tcW w:w="2035" w:type="dxa"/>
          </w:tcPr>
          <w:p w:rsidR="00295901" w:rsidRDefault="00295901" w:rsidP="00297EB1">
            <w:r>
              <w:t>N</w:t>
            </w:r>
          </w:p>
        </w:tc>
        <w:tc>
          <w:tcPr>
            <w:tcW w:w="1276" w:type="dxa"/>
          </w:tcPr>
          <w:p w:rsidR="00295901" w:rsidRDefault="00295901" w:rsidP="00297EB1">
            <w:r>
              <w:t>0.7</w:t>
            </w:r>
          </w:p>
        </w:tc>
        <w:tc>
          <w:tcPr>
            <w:tcW w:w="912" w:type="dxa"/>
          </w:tcPr>
          <w:p w:rsidR="00295901" w:rsidRDefault="00295901" w:rsidP="00297EB1">
            <w:r>
              <w:t>3</w:t>
            </w:r>
          </w:p>
        </w:tc>
      </w:tr>
      <w:tr w:rsidR="00295901" w:rsidTr="00295901">
        <w:tc>
          <w:tcPr>
            <w:tcW w:w="2660" w:type="dxa"/>
          </w:tcPr>
          <w:p w:rsidR="00295901" w:rsidRDefault="00295901" w:rsidP="00297EB1">
            <w:r>
              <w:t>Figure 2 – primary analysis for female cohort</w:t>
            </w:r>
          </w:p>
        </w:tc>
        <w:tc>
          <w:tcPr>
            <w:tcW w:w="992" w:type="dxa"/>
          </w:tcPr>
          <w:p w:rsidR="00295901" w:rsidRDefault="00295901" w:rsidP="00297EB1">
            <w:r>
              <w:t>F</w:t>
            </w:r>
          </w:p>
        </w:tc>
        <w:tc>
          <w:tcPr>
            <w:tcW w:w="1367" w:type="dxa"/>
          </w:tcPr>
          <w:p w:rsidR="00295901" w:rsidRDefault="00295901" w:rsidP="00297EB1">
            <w:r>
              <w:t>Adjusted</w:t>
            </w:r>
          </w:p>
        </w:tc>
        <w:tc>
          <w:tcPr>
            <w:tcW w:w="2035" w:type="dxa"/>
          </w:tcPr>
          <w:p w:rsidR="00295901" w:rsidRDefault="00295901" w:rsidP="00297EB1">
            <w:r>
              <w:t>N</w:t>
            </w:r>
          </w:p>
        </w:tc>
        <w:tc>
          <w:tcPr>
            <w:tcW w:w="1276" w:type="dxa"/>
          </w:tcPr>
          <w:p w:rsidR="00295901" w:rsidRDefault="00295901" w:rsidP="00297EB1">
            <w:r>
              <w:t>0.7</w:t>
            </w:r>
          </w:p>
        </w:tc>
        <w:tc>
          <w:tcPr>
            <w:tcW w:w="912" w:type="dxa"/>
          </w:tcPr>
          <w:p w:rsidR="00295901" w:rsidRDefault="00295901" w:rsidP="00297EB1">
            <w:r>
              <w:t>5</w:t>
            </w:r>
          </w:p>
        </w:tc>
      </w:tr>
      <w:tr w:rsidR="00295901" w:rsidTr="00295901">
        <w:tc>
          <w:tcPr>
            <w:tcW w:w="2660" w:type="dxa"/>
          </w:tcPr>
          <w:p w:rsidR="00295901" w:rsidRDefault="00295901" w:rsidP="00295901">
            <w:r>
              <w:t>Figure 3</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7</w:t>
            </w:r>
          </w:p>
        </w:tc>
      </w:tr>
      <w:tr w:rsidR="00295901" w:rsidTr="00295901">
        <w:tc>
          <w:tcPr>
            <w:tcW w:w="2660" w:type="dxa"/>
          </w:tcPr>
          <w:p w:rsidR="00295901" w:rsidRDefault="00295901" w:rsidP="00295901">
            <w:r>
              <w:t>Figure 4</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8</w:t>
            </w:r>
          </w:p>
        </w:tc>
      </w:tr>
      <w:tr w:rsidR="00295901" w:rsidTr="00295901">
        <w:tc>
          <w:tcPr>
            <w:tcW w:w="2660" w:type="dxa"/>
          </w:tcPr>
          <w:p w:rsidR="00295901" w:rsidRDefault="00295901" w:rsidP="00295901">
            <w:r>
              <w:t>Figure 5</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9</w:t>
            </w:r>
          </w:p>
        </w:tc>
      </w:tr>
      <w:tr w:rsidR="00295901" w:rsidTr="00295901">
        <w:tc>
          <w:tcPr>
            <w:tcW w:w="2660" w:type="dxa"/>
          </w:tcPr>
          <w:p w:rsidR="00295901" w:rsidRDefault="00295901" w:rsidP="00295901">
            <w:r>
              <w:t>Figure 6</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10</w:t>
            </w:r>
          </w:p>
        </w:tc>
      </w:tr>
      <w:tr w:rsidR="00295901" w:rsidTr="00295901">
        <w:tc>
          <w:tcPr>
            <w:tcW w:w="2660" w:type="dxa"/>
          </w:tcPr>
          <w:p w:rsidR="00295901" w:rsidRDefault="00295901" w:rsidP="00295901">
            <w:r>
              <w:t>Figure 7</w:t>
            </w:r>
          </w:p>
        </w:tc>
        <w:tc>
          <w:tcPr>
            <w:tcW w:w="992" w:type="dxa"/>
          </w:tcPr>
          <w:p w:rsidR="00295901" w:rsidRDefault="00295901" w:rsidP="00295901">
            <w:r>
              <w:t>M</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11</w:t>
            </w:r>
          </w:p>
        </w:tc>
      </w:tr>
      <w:tr w:rsidR="00295901" w:rsidTr="00295901">
        <w:tc>
          <w:tcPr>
            <w:tcW w:w="2660" w:type="dxa"/>
          </w:tcPr>
          <w:p w:rsidR="00295901" w:rsidRDefault="00295901" w:rsidP="00295901">
            <w:r>
              <w:t>Figure 8</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12</w:t>
            </w:r>
          </w:p>
        </w:tc>
      </w:tr>
      <w:tr w:rsidR="00295901" w:rsidTr="00295901">
        <w:tc>
          <w:tcPr>
            <w:tcW w:w="2660" w:type="dxa"/>
          </w:tcPr>
          <w:p w:rsidR="00295901" w:rsidRDefault="00295901" w:rsidP="00295901">
            <w:r>
              <w:t>Figure 9</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13</w:t>
            </w:r>
          </w:p>
        </w:tc>
      </w:tr>
      <w:tr w:rsidR="00295901" w:rsidTr="00295901">
        <w:tc>
          <w:tcPr>
            <w:tcW w:w="2660" w:type="dxa"/>
          </w:tcPr>
          <w:p w:rsidR="00295901" w:rsidRDefault="00295901" w:rsidP="00295901">
            <w:r>
              <w:t>Figure 10</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14</w:t>
            </w:r>
          </w:p>
        </w:tc>
      </w:tr>
      <w:tr w:rsidR="00295901" w:rsidTr="00295901">
        <w:tc>
          <w:tcPr>
            <w:tcW w:w="2660" w:type="dxa"/>
          </w:tcPr>
          <w:p w:rsidR="00295901" w:rsidRDefault="00295901" w:rsidP="00295901">
            <w:r>
              <w:t>Figure 11</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15</w:t>
            </w:r>
          </w:p>
        </w:tc>
      </w:tr>
      <w:tr w:rsidR="00295901" w:rsidTr="00295901">
        <w:tc>
          <w:tcPr>
            <w:tcW w:w="2660" w:type="dxa"/>
          </w:tcPr>
          <w:p w:rsidR="00295901" w:rsidRDefault="00295901" w:rsidP="00295901">
            <w:r>
              <w:t>Figure 12</w:t>
            </w:r>
          </w:p>
        </w:tc>
        <w:tc>
          <w:tcPr>
            <w:tcW w:w="992" w:type="dxa"/>
          </w:tcPr>
          <w:p w:rsidR="00295901" w:rsidRDefault="00295901" w:rsidP="00295901">
            <w:r>
              <w:t>M</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16</w:t>
            </w:r>
          </w:p>
        </w:tc>
      </w:tr>
      <w:tr w:rsidR="00295901" w:rsidTr="00295901">
        <w:tc>
          <w:tcPr>
            <w:tcW w:w="2660" w:type="dxa"/>
          </w:tcPr>
          <w:p w:rsidR="00295901" w:rsidRDefault="00295901" w:rsidP="00295901">
            <w:r>
              <w:t>Figure 13</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17</w:t>
            </w:r>
          </w:p>
        </w:tc>
      </w:tr>
      <w:tr w:rsidR="00295901" w:rsidTr="00295901">
        <w:tc>
          <w:tcPr>
            <w:tcW w:w="2660" w:type="dxa"/>
          </w:tcPr>
          <w:p w:rsidR="00295901" w:rsidRDefault="00295901" w:rsidP="00295901">
            <w:r>
              <w:t>Figure 14</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18</w:t>
            </w:r>
          </w:p>
        </w:tc>
      </w:tr>
      <w:tr w:rsidR="00295901" w:rsidTr="00295901">
        <w:tc>
          <w:tcPr>
            <w:tcW w:w="2660" w:type="dxa"/>
          </w:tcPr>
          <w:p w:rsidR="00295901" w:rsidRDefault="00295901" w:rsidP="00295901">
            <w:r>
              <w:t>Figure 15</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19</w:t>
            </w:r>
          </w:p>
        </w:tc>
      </w:tr>
      <w:tr w:rsidR="00295901" w:rsidTr="00295901">
        <w:tc>
          <w:tcPr>
            <w:tcW w:w="2660" w:type="dxa"/>
          </w:tcPr>
          <w:p w:rsidR="00295901" w:rsidRDefault="00295901" w:rsidP="00295901">
            <w:r>
              <w:t>Figure 16</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20</w:t>
            </w:r>
          </w:p>
        </w:tc>
      </w:tr>
      <w:tr w:rsidR="00295901" w:rsidTr="00295901">
        <w:tc>
          <w:tcPr>
            <w:tcW w:w="2660" w:type="dxa"/>
          </w:tcPr>
          <w:p w:rsidR="00295901" w:rsidRDefault="00295901" w:rsidP="00295901">
            <w:r>
              <w:t>Figure 17</w:t>
            </w:r>
          </w:p>
        </w:tc>
        <w:tc>
          <w:tcPr>
            <w:tcW w:w="992" w:type="dxa"/>
          </w:tcPr>
          <w:p w:rsidR="00295901" w:rsidRDefault="00295901" w:rsidP="00295901">
            <w:r>
              <w:t>F</w:t>
            </w:r>
          </w:p>
        </w:tc>
        <w:tc>
          <w:tcPr>
            <w:tcW w:w="1367" w:type="dxa"/>
          </w:tcPr>
          <w:p w:rsidR="00295901" w:rsidRDefault="00295901" w:rsidP="00295901">
            <w:r>
              <w:t>CPRD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21</w:t>
            </w:r>
          </w:p>
        </w:tc>
      </w:tr>
      <w:tr w:rsidR="00295901" w:rsidTr="00295901">
        <w:tc>
          <w:tcPr>
            <w:tcW w:w="2660" w:type="dxa"/>
          </w:tcPr>
          <w:p w:rsidR="00295901" w:rsidRDefault="00295901" w:rsidP="00295901">
            <w:r>
              <w:t>Figure 18</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0.65</w:t>
            </w:r>
          </w:p>
        </w:tc>
        <w:tc>
          <w:tcPr>
            <w:tcW w:w="912" w:type="dxa"/>
          </w:tcPr>
          <w:p w:rsidR="00295901" w:rsidRDefault="00295901" w:rsidP="00295901">
            <w:r>
              <w:t>22</w:t>
            </w:r>
          </w:p>
        </w:tc>
      </w:tr>
      <w:tr w:rsidR="00295901" w:rsidTr="00295901">
        <w:tc>
          <w:tcPr>
            <w:tcW w:w="2660" w:type="dxa"/>
          </w:tcPr>
          <w:p w:rsidR="00295901" w:rsidRDefault="00295901" w:rsidP="00295901">
            <w:r>
              <w:t>Figure 19</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N</w:t>
            </w:r>
          </w:p>
        </w:tc>
        <w:tc>
          <w:tcPr>
            <w:tcW w:w="1276" w:type="dxa"/>
          </w:tcPr>
          <w:p w:rsidR="00295901" w:rsidRDefault="00295901" w:rsidP="00295901">
            <w:r>
              <w:t>0.6</w:t>
            </w:r>
          </w:p>
        </w:tc>
        <w:tc>
          <w:tcPr>
            <w:tcW w:w="912" w:type="dxa"/>
          </w:tcPr>
          <w:p w:rsidR="00295901" w:rsidRDefault="00295901" w:rsidP="00295901">
            <w:r>
              <w:t>23</w:t>
            </w:r>
          </w:p>
        </w:tc>
      </w:tr>
      <w:tr w:rsidR="00295901" w:rsidTr="00295901">
        <w:tc>
          <w:tcPr>
            <w:tcW w:w="2660" w:type="dxa"/>
          </w:tcPr>
          <w:p w:rsidR="00295901" w:rsidRDefault="00295901" w:rsidP="00295901">
            <w:r>
              <w:t>Figure 20</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0.7</w:t>
            </w:r>
          </w:p>
        </w:tc>
        <w:tc>
          <w:tcPr>
            <w:tcW w:w="912" w:type="dxa"/>
          </w:tcPr>
          <w:p w:rsidR="00295901" w:rsidRDefault="00295901" w:rsidP="00295901">
            <w:r>
              <w:t>24</w:t>
            </w:r>
          </w:p>
        </w:tc>
      </w:tr>
      <w:tr w:rsidR="00295901" w:rsidTr="00295901">
        <w:tc>
          <w:tcPr>
            <w:tcW w:w="2660" w:type="dxa"/>
          </w:tcPr>
          <w:p w:rsidR="00295901" w:rsidRDefault="00295901" w:rsidP="00295901">
            <w:r>
              <w:t>Figure 21</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0.65</w:t>
            </w:r>
          </w:p>
        </w:tc>
        <w:tc>
          <w:tcPr>
            <w:tcW w:w="912" w:type="dxa"/>
          </w:tcPr>
          <w:p w:rsidR="00295901" w:rsidRDefault="00295901" w:rsidP="00295901">
            <w:r>
              <w:t>25</w:t>
            </w:r>
          </w:p>
        </w:tc>
      </w:tr>
      <w:tr w:rsidR="00295901" w:rsidTr="00295901">
        <w:tc>
          <w:tcPr>
            <w:tcW w:w="2660" w:type="dxa"/>
          </w:tcPr>
          <w:p w:rsidR="00295901" w:rsidRDefault="00295901" w:rsidP="00295901">
            <w:r>
              <w:t>Figure 22</w:t>
            </w:r>
          </w:p>
        </w:tc>
        <w:tc>
          <w:tcPr>
            <w:tcW w:w="992" w:type="dxa"/>
          </w:tcPr>
          <w:p w:rsidR="00295901" w:rsidRDefault="00295901" w:rsidP="00295901">
            <w:r>
              <w:t>F</w:t>
            </w:r>
          </w:p>
        </w:tc>
        <w:tc>
          <w:tcPr>
            <w:tcW w:w="1367" w:type="dxa"/>
          </w:tcPr>
          <w:p w:rsidR="00295901" w:rsidRDefault="00295901" w:rsidP="00295901">
            <w:r>
              <w:t>Adjusted</w:t>
            </w:r>
          </w:p>
        </w:tc>
        <w:tc>
          <w:tcPr>
            <w:tcW w:w="2035" w:type="dxa"/>
          </w:tcPr>
          <w:p w:rsidR="00295901" w:rsidRDefault="00295901" w:rsidP="00295901">
            <w:r>
              <w:t>Y</w:t>
            </w:r>
          </w:p>
        </w:tc>
        <w:tc>
          <w:tcPr>
            <w:tcW w:w="1276" w:type="dxa"/>
          </w:tcPr>
          <w:p w:rsidR="00295901" w:rsidRDefault="00295901" w:rsidP="00295901">
            <w:r>
              <w:t>0.6</w:t>
            </w:r>
          </w:p>
        </w:tc>
        <w:tc>
          <w:tcPr>
            <w:tcW w:w="912" w:type="dxa"/>
          </w:tcPr>
          <w:p w:rsidR="00295901" w:rsidRDefault="00295901" w:rsidP="00295901">
            <w:r>
              <w:t>26</w:t>
            </w:r>
          </w:p>
        </w:tc>
      </w:tr>
    </w:tbl>
    <w:p w:rsidR="00520D44" w:rsidRDefault="00520D44"/>
    <w:p w:rsidR="00241F43" w:rsidRDefault="00241F43"/>
    <w:p w:rsidR="00241F43" w:rsidRDefault="00241F43"/>
    <w:p w:rsidR="005E6227" w:rsidRDefault="005E6227"/>
    <w:p w:rsidR="00241F43" w:rsidRDefault="00241F43"/>
    <w:p w:rsidR="00F324C6" w:rsidRDefault="00F324C6"/>
    <w:p w:rsidR="00241F43" w:rsidRDefault="00241F43">
      <w:r w:rsidRPr="00241F43">
        <w:rPr>
          <w:b/>
        </w:rPr>
        <w:lastRenderedPageBreak/>
        <w:t>Discussion</w:t>
      </w:r>
      <w:r>
        <w:rPr>
          <w:b/>
        </w:rPr>
        <w:t xml:space="preserve"> of results</w:t>
      </w:r>
    </w:p>
    <w:p w:rsidR="00241F43" w:rsidRDefault="00241F43">
      <w:r>
        <w:t>The primary analysis for the female cohort beings similar conclusions to the male cohort. The peak of the trajectories is driven by age, rather than risk score, although the peak is shifted by about five years to just after 60. This reflects female’s lower risk of death. Again there is little gain to be made by delaying statin initiation until patients are at a higher risk.</w:t>
      </w:r>
    </w:p>
    <w:p w:rsidR="00241F43" w:rsidRDefault="00241F43">
      <w:r>
        <w:t>The rest of the sensitivity analyses echo the findings from the primary analysis. Reducing the relative rate (increasing the treatment effect) causes a higher number of events prevented, however the shape of the trajectories remains the same and the maxima is around the same age. While there is a bigger difference between prescribing at age 40 and age 60, the time period of most interest (between 50 and 70) shows littl</w:t>
      </w:r>
      <w:r w:rsidR="00295901">
        <w:t>e benefit to delaying. W</w:t>
      </w:r>
      <w:r>
        <w:t>hen the cohort of statin users excludes treatment periods with only one prescription, the events prevented</w:t>
      </w:r>
      <w:r w:rsidR="00295901">
        <w:t xml:space="preserve"> increases slightly but the change is not large. Once again, the maxima of the trajectories are at a similar point.</w:t>
      </w:r>
    </w:p>
    <w:p w:rsidR="00295901" w:rsidRPr="00241F43" w:rsidRDefault="00295901">
      <w:r>
        <w:t>The sensitivity analyses support the main findings from the study.</w:t>
      </w:r>
    </w:p>
    <w:p w:rsidR="00241F43" w:rsidRDefault="00241F43"/>
    <w:p w:rsidR="00241F43" w:rsidRDefault="00241F43"/>
    <w:p w:rsidR="00520D44" w:rsidRDefault="00520D44"/>
    <w:p w:rsidR="00520D44" w:rsidRDefault="00520D44"/>
    <w:p w:rsidR="00520D44" w:rsidRDefault="00520D44"/>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295901" w:rsidRDefault="00295901"/>
    <w:p w:rsidR="00F05D99" w:rsidRDefault="00520D44">
      <w:pPr>
        <w:rPr>
          <w:noProof/>
          <w:lang w:eastAsia="en-GB"/>
        </w:rPr>
      </w:pPr>
      <w:r w:rsidRPr="00297EB1">
        <w:lastRenderedPageBreak/>
        <w:t xml:space="preserve">Supplementary Figure </w:t>
      </w:r>
      <w:r w:rsidR="004F1651">
        <w:t>3.</w:t>
      </w:r>
      <w:r w:rsidRPr="00297EB1">
        <w:t xml:space="preserve">1: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(female cohort)</w:t>
      </w:r>
    </w:p>
    <w:p w:rsidR="00077788" w:rsidRDefault="002E1FB3">
      <w:r>
        <w:rPr>
          <w:noProof/>
          <w:lang w:eastAsia="en-GB"/>
        </w:rPr>
        <w:drawing>
          <wp:inline distT="0" distB="0" distL="0" distR="0">
            <wp:extent cx="4022272" cy="8044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_female_RR0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2993" cy="8045985"/>
                    </a:xfrm>
                    <a:prstGeom prst="rect">
                      <a:avLst/>
                    </a:prstGeom>
                  </pic:spPr>
                </pic:pic>
              </a:graphicData>
            </a:graphic>
          </wp:inline>
        </w:drawing>
      </w:r>
    </w:p>
    <w:p w:rsidR="00520D44" w:rsidRDefault="00520D44" w:rsidP="00F05D99">
      <w:pPr>
        <w:pBdr>
          <w:top w:val="single" w:sz="4" w:space="1" w:color="auto"/>
          <w:left w:val="single" w:sz="4" w:space="0" w:color="auto"/>
          <w:bottom w:val="single" w:sz="4" w:space="1" w:color="auto"/>
          <w:right w:val="single" w:sz="4" w:space="4" w:color="auto"/>
        </w:pBdr>
        <w:rPr>
          <w:rFonts w:ascii="Calibri" w:hAnsi="Calibri" w:cs="Calibri"/>
          <w:color w:val="000000"/>
        </w:rPr>
      </w:pPr>
      <w:r>
        <w:rPr>
          <w:rFonts w:ascii="Calibri" w:hAnsi="Calibri" w:cs="Calibri"/>
          <w:i/>
          <w:color w:val="000000"/>
        </w:rPr>
        <w:lastRenderedPageBreak/>
        <w:t>Supplementary i</w:t>
      </w:r>
      <w:r w:rsidR="00F05D99" w:rsidRPr="00434611">
        <w:rPr>
          <w:rFonts w:ascii="Calibri" w:hAnsi="Calibri" w:cs="Calibri"/>
          <w:i/>
          <w:color w:val="000000"/>
        </w:rPr>
        <w:t xml:space="preserve">llustrative </w:t>
      </w:r>
      <w:r>
        <w:rPr>
          <w:rFonts w:ascii="Calibri" w:hAnsi="Calibri" w:cs="Calibri"/>
          <w:i/>
          <w:color w:val="000000"/>
        </w:rPr>
        <w:t>example 1</w:t>
      </w:r>
      <w:r w:rsidR="00F05D99" w:rsidRPr="00434611">
        <w:rPr>
          <w:rFonts w:ascii="Calibri" w:hAnsi="Calibri" w:cs="Calibri"/>
          <w:i/>
          <w:color w:val="000000"/>
        </w:rPr>
        <w:t>:</w:t>
      </w:r>
      <w:r w:rsidR="00F05D99">
        <w:rPr>
          <w:rFonts w:ascii="Calibri" w:hAnsi="Calibri" w:cs="Calibri"/>
          <w:color w:val="000000"/>
        </w:rPr>
        <w:t xml:space="preserve"> If we prescribe statins to a cohort of 50-year old men with a 10% 1</w:t>
      </w:r>
      <w:r w:rsidR="00077788">
        <w:rPr>
          <w:rFonts w:ascii="Calibri" w:hAnsi="Calibri" w:cs="Calibri"/>
          <w:color w:val="000000"/>
        </w:rPr>
        <w:t>0-year CVD risk, we prevent 4.53</w:t>
      </w:r>
      <w:r w:rsidR="00F05D99">
        <w:rPr>
          <w:rFonts w:ascii="Calibri" w:hAnsi="Calibri" w:cs="Calibri"/>
          <w:color w:val="000000"/>
        </w:rPr>
        <w:t xml:space="preserve"> events per 100 individuals over the course of 40 years. If</w:t>
      </w:r>
      <w:r w:rsidR="00077788">
        <w:rPr>
          <w:rFonts w:ascii="Calibri" w:hAnsi="Calibri" w:cs="Calibri"/>
          <w:color w:val="000000"/>
        </w:rPr>
        <w:t xml:space="preserve"> we took this same cohort of women</w:t>
      </w:r>
      <w:r w:rsidR="00F05D99">
        <w:rPr>
          <w:rFonts w:ascii="Calibri" w:hAnsi="Calibri" w:cs="Calibri"/>
          <w:color w:val="000000"/>
        </w:rPr>
        <w:t>, but instead waited 10 years before initiating statins, at which point there 10-year risk of CVD would be around</w:t>
      </w:r>
      <w:r w:rsidR="00077788">
        <w:rPr>
          <w:rFonts w:ascii="Calibri" w:hAnsi="Calibri" w:cs="Calibri"/>
          <w:color w:val="000000"/>
        </w:rPr>
        <w:t xml:space="preserve"> 20%, then we would prevent 5.49</w:t>
      </w:r>
      <w:r w:rsidR="00F05D99">
        <w:rPr>
          <w:rFonts w:ascii="Calibri" w:hAnsi="Calibri" w:cs="Calibri"/>
          <w:color w:val="000000"/>
        </w:rPr>
        <w:t xml:space="preserve"> events per 100 individuals over the 40 years period of follow up.</w:t>
      </w:r>
    </w:p>
    <w:p w:rsidR="00F05D99" w:rsidRDefault="00F05D99" w:rsidP="00520D44">
      <w:pPr>
        <w:rPr>
          <w:rFonts w:ascii="Calibri" w:hAnsi="Calibri" w:cs="Calibri"/>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p>
    <w:p w:rsidR="00520D44" w:rsidRDefault="00520D44" w:rsidP="00520D44">
      <w:pPr>
        <w:rPr>
          <w:b/>
        </w:rPr>
      </w:pPr>
      <w:r w:rsidRPr="00297EB1">
        <w:lastRenderedPageBreak/>
        <w:t xml:space="preserve">Supplementary Figure </w:t>
      </w:r>
      <w:r w:rsidR="004F1651">
        <w:t>3.</w:t>
      </w:r>
      <w:r w:rsidRPr="00297EB1">
        <w:t>2: Number of cardiovascular events prevented over the duration of follow up with different time delays in starting statins, stratified by baseline age and discontinuation rate</w:t>
      </w:r>
      <w:r>
        <w:rPr>
          <w:b/>
        </w:rPr>
        <w:t xml:space="preserve"> (female cohort)  </w:t>
      </w:r>
    </w:p>
    <w:p w:rsidR="00A0735E" w:rsidRPr="004F1651" w:rsidRDefault="002E1FB3" w:rsidP="00A0735E">
      <w:pPr>
        <w:rPr>
          <w:rFonts w:ascii="Calibri" w:hAnsi="Calibri" w:cs="Calibri"/>
        </w:rPr>
      </w:pPr>
      <w:r>
        <w:rPr>
          <w:rFonts w:ascii="Calibri" w:hAnsi="Calibri" w:cs="Calibri"/>
          <w:noProof/>
          <w:lang w:eastAsia="en-GB"/>
        </w:rPr>
        <w:drawing>
          <wp:inline distT="0" distB="0" distL="0" distR="0">
            <wp:extent cx="4000500" cy="800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_female_RR07_discadj.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00500" cy="8001000"/>
                    </a:xfrm>
                    <a:prstGeom prst="rect">
                      <a:avLst/>
                    </a:prstGeom>
                  </pic:spPr>
                </pic:pic>
              </a:graphicData>
            </a:graphic>
          </wp:inline>
        </w:drawing>
      </w:r>
    </w:p>
    <w:p w:rsidR="00A0735E" w:rsidRPr="008205BC" w:rsidRDefault="00520D44" w:rsidP="00A0735E">
      <w:pPr>
        <w:pBdr>
          <w:top w:val="single" w:sz="4" w:space="1" w:color="auto"/>
          <w:left w:val="single" w:sz="4" w:space="0" w:color="auto"/>
          <w:bottom w:val="single" w:sz="4" w:space="1" w:color="auto"/>
          <w:right w:val="single" w:sz="4" w:space="4" w:color="auto"/>
        </w:pBdr>
        <w:rPr>
          <w:rFonts w:ascii="Calibri" w:hAnsi="Calibri" w:cs="Calibri"/>
          <w:color w:val="000000"/>
        </w:rPr>
      </w:pPr>
      <w:r>
        <w:rPr>
          <w:rFonts w:ascii="Calibri" w:hAnsi="Calibri" w:cs="Calibri"/>
          <w:i/>
          <w:color w:val="000000"/>
        </w:rPr>
        <w:lastRenderedPageBreak/>
        <w:t>Supplementary i</w:t>
      </w:r>
      <w:r w:rsidR="00A0735E" w:rsidRPr="00434611">
        <w:rPr>
          <w:rFonts w:ascii="Calibri" w:hAnsi="Calibri" w:cs="Calibri"/>
          <w:i/>
          <w:color w:val="000000"/>
        </w:rPr>
        <w:t>llustrative example</w:t>
      </w:r>
      <w:r>
        <w:rPr>
          <w:rFonts w:ascii="Calibri" w:hAnsi="Calibri" w:cs="Calibri"/>
          <w:i/>
          <w:color w:val="000000"/>
        </w:rPr>
        <w:t xml:space="preserve"> 2</w:t>
      </w:r>
      <w:r w:rsidR="00A0735E" w:rsidRPr="00434611">
        <w:rPr>
          <w:rFonts w:ascii="Calibri" w:hAnsi="Calibri" w:cs="Calibri"/>
          <w:i/>
          <w:color w:val="000000"/>
        </w:rPr>
        <w:t>:</w:t>
      </w:r>
      <w:r w:rsidR="00A0735E">
        <w:rPr>
          <w:rFonts w:ascii="Calibri" w:hAnsi="Calibri" w:cs="Calibri"/>
          <w:color w:val="000000"/>
        </w:rPr>
        <w:t xml:space="preserve"> Consider prescribing statins to a cohort of 50-year old </w:t>
      </w:r>
      <w:r w:rsidR="00035497">
        <w:rPr>
          <w:rFonts w:ascii="Calibri" w:hAnsi="Calibri" w:cs="Calibri"/>
          <w:color w:val="000000"/>
        </w:rPr>
        <w:t>wo</w:t>
      </w:r>
      <w:r w:rsidR="00A0735E">
        <w:rPr>
          <w:rFonts w:ascii="Calibri" w:hAnsi="Calibri" w:cs="Calibri"/>
          <w:color w:val="000000"/>
        </w:rPr>
        <w:t>men with a 4% 10-year CVD risk (median for that g</w:t>
      </w:r>
      <w:r w:rsidR="00035497">
        <w:rPr>
          <w:rFonts w:ascii="Calibri" w:hAnsi="Calibri" w:cs="Calibri"/>
          <w:color w:val="000000"/>
        </w:rPr>
        <w:t>roup). Per 100 individuals, 3.64</w:t>
      </w:r>
      <w:r w:rsidR="00A0735E">
        <w:rPr>
          <w:rFonts w:ascii="Calibri" w:hAnsi="Calibri" w:cs="Calibri"/>
          <w:color w:val="000000"/>
        </w:rPr>
        <w:t xml:space="preserve"> events are prevented if discontinua</w:t>
      </w:r>
      <w:r w:rsidR="00035497">
        <w:rPr>
          <w:rFonts w:ascii="Calibri" w:hAnsi="Calibri" w:cs="Calibri"/>
          <w:color w:val="000000"/>
        </w:rPr>
        <w:t>tion rates remain as normal, 5.7</w:t>
      </w:r>
      <w:r w:rsidR="00A0735E">
        <w:rPr>
          <w:rFonts w:ascii="Calibri" w:hAnsi="Calibri" w:cs="Calibri"/>
          <w:color w:val="000000"/>
        </w:rPr>
        <w:t>9 events if discontinuation is reduced by a sixth,</w:t>
      </w:r>
      <w:r w:rsidR="00035497">
        <w:rPr>
          <w:rFonts w:ascii="Calibri" w:hAnsi="Calibri" w:cs="Calibri"/>
          <w:color w:val="000000"/>
        </w:rPr>
        <w:t xml:space="preserve"> 7.24</w:t>
      </w:r>
      <w:r w:rsidR="00A0735E">
        <w:rPr>
          <w:rFonts w:ascii="Calibri" w:hAnsi="Calibri" w:cs="Calibri"/>
          <w:color w:val="000000"/>
        </w:rPr>
        <w:t xml:space="preserve"> events if discontinua</w:t>
      </w:r>
      <w:r w:rsidR="00035497">
        <w:rPr>
          <w:rFonts w:ascii="Calibri" w:hAnsi="Calibri" w:cs="Calibri"/>
          <w:color w:val="000000"/>
        </w:rPr>
        <w:t>tion is reduced by a third, 8.25</w:t>
      </w:r>
      <w:r w:rsidR="00A0735E">
        <w:rPr>
          <w:rFonts w:ascii="Calibri" w:hAnsi="Calibri" w:cs="Calibri"/>
          <w:color w:val="000000"/>
        </w:rPr>
        <w:t xml:space="preserve"> events if dis</w:t>
      </w:r>
      <w:r w:rsidR="00035497">
        <w:rPr>
          <w:rFonts w:ascii="Calibri" w:hAnsi="Calibri" w:cs="Calibri"/>
          <w:color w:val="000000"/>
        </w:rPr>
        <w:t>continuation is halved, and 9.47</w:t>
      </w:r>
      <w:r w:rsidR="00A0735E">
        <w:rPr>
          <w:rFonts w:ascii="Calibri" w:hAnsi="Calibri" w:cs="Calibri"/>
          <w:color w:val="000000"/>
        </w:rPr>
        <w:t xml:space="preserve"> events if there is no discontinuation. The equivalent number of events prevented for a cohort wi</w:t>
      </w:r>
      <w:r w:rsidR="00035497">
        <w:rPr>
          <w:rFonts w:ascii="Calibri" w:hAnsi="Calibri" w:cs="Calibri"/>
          <w:color w:val="000000"/>
        </w:rPr>
        <w:t>th 10% 10-year CVD risk are 4.54, 7.21, 9.05, 10.27</w:t>
      </w:r>
      <w:r w:rsidR="00A0735E">
        <w:rPr>
          <w:rFonts w:ascii="Calibri" w:hAnsi="Calibri" w:cs="Calibri"/>
          <w:color w:val="000000"/>
        </w:rPr>
        <w:t xml:space="preserve"> an</w:t>
      </w:r>
      <w:r w:rsidR="00035497">
        <w:rPr>
          <w:rFonts w:ascii="Calibri" w:hAnsi="Calibri" w:cs="Calibri"/>
          <w:color w:val="000000"/>
        </w:rPr>
        <w:t>d 11.8</w:t>
      </w:r>
      <w:r w:rsidR="00A0735E">
        <w:rPr>
          <w:rFonts w:ascii="Calibri" w:hAnsi="Calibri" w:cs="Calibri"/>
          <w:color w:val="000000"/>
        </w:rPr>
        <w:t>3.</w:t>
      </w:r>
    </w:p>
    <w:p w:rsidR="00A0735E" w:rsidRDefault="00A0735E"/>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FF22E4" w:rsidRDefault="00FF22E4">
      <w:pPr>
        <w:rPr>
          <w:b/>
        </w:rPr>
      </w:pPr>
    </w:p>
    <w:p w:rsidR="00614E34" w:rsidRDefault="00520D44">
      <w:pPr>
        <w:rPr>
          <w:b/>
        </w:rPr>
      </w:pPr>
      <w:r w:rsidRPr="00297EB1">
        <w:lastRenderedPageBreak/>
        <w:t xml:space="preserve">Supplementary Figure </w:t>
      </w:r>
      <w:r w:rsidR="004F1651">
        <w:t>3.</w:t>
      </w:r>
      <w:r w:rsidRPr="00297EB1">
        <w:t xml:space="preserve">3: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0.65)</w:t>
      </w:r>
    </w:p>
    <w:p w:rsidR="00FF22E4" w:rsidRDefault="002E1FB3">
      <w:pPr>
        <w:rPr>
          <w:b/>
        </w:rPr>
      </w:pPr>
      <w:r>
        <w:rPr>
          <w:b/>
          <w:noProof/>
          <w:lang w:eastAsia="en-GB"/>
        </w:rPr>
        <w:drawing>
          <wp:inline distT="0" distB="0" distL="0" distR="0">
            <wp:extent cx="4022272" cy="8044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_male_RR06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816" cy="8045631"/>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4: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w:t>
      </w:r>
    </w:p>
    <w:p w:rsidR="00FF22E4" w:rsidRDefault="002E1FB3" w:rsidP="00520D44">
      <w:pPr>
        <w:rPr>
          <w:b/>
        </w:rPr>
      </w:pPr>
      <w:r>
        <w:rPr>
          <w:b/>
          <w:noProof/>
          <w:lang w:eastAsia="en-GB"/>
        </w:rPr>
        <w:drawing>
          <wp:inline distT="0" distB="0" distL="0" distR="0">
            <wp:extent cx="4054929" cy="8109857"/>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_male_RR0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6198" cy="8112395"/>
                    </a:xfrm>
                    <a:prstGeom prst="rect">
                      <a:avLst/>
                    </a:prstGeom>
                  </pic:spPr>
                </pic:pic>
              </a:graphicData>
            </a:graphic>
          </wp:inline>
        </w:drawing>
      </w:r>
    </w:p>
    <w:p w:rsidR="00FF22E4" w:rsidRDefault="00520D44" w:rsidP="00520D44">
      <w:pPr>
        <w:rPr>
          <w:b/>
        </w:rPr>
      </w:pPr>
      <w:r w:rsidRPr="00297EB1">
        <w:lastRenderedPageBreak/>
        <w:t xml:space="preserve">Supplementary Figure </w:t>
      </w:r>
      <w:r w:rsidR="004F1651">
        <w:t>3.</w:t>
      </w:r>
      <w:r w:rsidRPr="00297EB1">
        <w:t xml:space="preserve">5: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0.7, single prescriptions excluded)</w:t>
      </w:r>
    </w:p>
    <w:p w:rsidR="00FF22E4" w:rsidRDefault="002E1FB3" w:rsidP="00520D44">
      <w:pPr>
        <w:rPr>
          <w:b/>
        </w:rPr>
      </w:pPr>
      <w:r>
        <w:rPr>
          <w:b/>
          <w:noProof/>
          <w:lang w:eastAsia="en-GB"/>
        </w:rPr>
        <w:drawing>
          <wp:inline distT="0" distB="0" distL="0" distR="0">
            <wp:extent cx="3995057" cy="799011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_male_RR07_no1pr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0989" cy="8001979"/>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6: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0.65, single prescriptions excluded)</w:t>
      </w:r>
    </w:p>
    <w:p w:rsidR="00FF22E4" w:rsidRDefault="002E1FB3" w:rsidP="00520D44">
      <w:pPr>
        <w:rPr>
          <w:b/>
        </w:rPr>
      </w:pPr>
      <w:r>
        <w:rPr>
          <w:b/>
          <w:noProof/>
          <w:lang w:eastAsia="en-GB"/>
        </w:rPr>
        <w:drawing>
          <wp:inline distT="0" distB="0" distL="0" distR="0">
            <wp:extent cx="3984172" cy="7968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_male_RR065_no1pr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5159" cy="7970317"/>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7: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(male cohort, RR = 0.6, single prescriptions excluded)</w:t>
      </w:r>
    </w:p>
    <w:p w:rsidR="00520D44" w:rsidRDefault="002E1FB3" w:rsidP="00520D44">
      <w:pPr>
        <w:rPr>
          <w:b/>
        </w:rPr>
      </w:pPr>
      <w:r>
        <w:rPr>
          <w:b/>
          <w:noProof/>
          <w:lang w:eastAsia="en-GB"/>
        </w:rPr>
        <w:drawing>
          <wp:inline distT="0" distB="0" distL="0" distR="0">
            <wp:extent cx="4000500" cy="800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_male_RR06_no1pre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1489" cy="800297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8: Number of cardiovascular events prevented over the duration of follow up with different time delays in starting statins, stratified by baseline age and discontinuation rate </w:t>
      </w:r>
      <w:r w:rsidR="00297EB1">
        <w:rPr>
          <w:b/>
        </w:rPr>
        <w:t xml:space="preserve">(male cohort, RR = 0.65) </w:t>
      </w:r>
    </w:p>
    <w:p w:rsidR="00297EB1" w:rsidRDefault="002E1FB3" w:rsidP="00520D44">
      <w:pPr>
        <w:rPr>
          <w:b/>
        </w:rPr>
      </w:pPr>
      <w:r>
        <w:rPr>
          <w:b/>
          <w:noProof/>
          <w:lang w:eastAsia="en-GB"/>
        </w:rPr>
        <w:drawing>
          <wp:inline distT="0" distB="0" distL="0" distR="0">
            <wp:extent cx="4093029" cy="8186057"/>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_male_RR065_discadj.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4542" cy="8189083"/>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9: Number of cardiovascular events prevented over the duration of follow up with different time delays in starting statins, stratified by baseline age and discontinuation rate</w:t>
      </w:r>
      <w:r>
        <w:rPr>
          <w:b/>
        </w:rPr>
        <w:t xml:space="preserve"> (male cohort, RR = 0.6)  </w:t>
      </w:r>
    </w:p>
    <w:p w:rsidR="00297EB1" w:rsidRDefault="002E1FB3" w:rsidP="00520D44">
      <w:pPr>
        <w:rPr>
          <w:b/>
        </w:rPr>
      </w:pPr>
      <w:r>
        <w:rPr>
          <w:b/>
          <w:noProof/>
          <w:lang w:eastAsia="en-GB"/>
        </w:rPr>
        <w:drawing>
          <wp:inline distT="0" distB="0" distL="0" distR="0">
            <wp:extent cx="4000500" cy="800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_male_RR06_discadj.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1044" cy="8002087"/>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10: Number of cardiovascular events prevented over the duration of follow up with different time delays in starting statins, stratified by baseline age and discontinuation rate</w:t>
      </w:r>
      <w:r>
        <w:rPr>
          <w:b/>
        </w:rPr>
        <w:t xml:space="preserve"> (male cohort, RR = 0.7, </w:t>
      </w:r>
      <w:r w:rsidR="00297EB1">
        <w:rPr>
          <w:b/>
        </w:rPr>
        <w:t xml:space="preserve">single prescriptions excluded) </w:t>
      </w:r>
    </w:p>
    <w:p w:rsidR="00297EB1" w:rsidRDefault="002E1FB3" w:rsidP="00520D44">
      <w:pPr>
        <w:rPr>
          <w:b/>
        </w:rPr>
      </w:pPr>
      <w:r>
        <w:rPr>
          <w:b/>
          <w:noProof/>
          <w:lang w:eastAsia="en-GB"/>
        </w:rPr>
        <w:drawing>
          <wp:inline distT="0" distB="0" distL="0" distR="0">
            <wp:extent cx="3995057" cy="7990114"/>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_male_RR07_discadj_no1pr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5870" cy="7991740"/>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11: Number of cardiovascular events prevented over the duration of follow up with different time delays in starting statins, stratified by baseline age and discontinuation rate</w:t>
      </w:r>
      <w:r>
        <w:rPr>
          <w:b/>
        </w:rPr>
        <w:t xml:space="preserve"> (male cohort, RR = 0.65, single prescriptions excluded)  </w:t>
      </w:r>
    </w:p>
    <w:p w:rsidR="00297EB1" w:rsidRDefault="002E1FB3" w:rsidP="00520D44">
      <w:pPr>
        <w:rPr>
          <w:b/>
        </w:rPr>
      </w:pPr>
      <w:r>
        <w:rPr>
          <w:b/>
          <w:noProof/>
          <w:lang w:eastAsia="en-GB"/>
        </w:rPr>
        <w:drawing>
          <wp:inline distT="0" distB="0" distL="0" distR="0">
            <wp:extent cx="4033157" cy="806631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_male_RR065_discadj_no1pr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3429" cy="806685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12: Number of cardiovascular events prevented over the duration of follow up with different time delays in starting statins, stratified by baseline age and discontinuation rate</w:t>
      </w:r>
      <w:r>
        <w:rPr>
          <w:b/>
        </w:rPr>
        <w:t xml:space="preserve"> (male cohort, RR = 0.6, single prescriptions excluded)  </w:t>
      </w:r>
    </w:p>
    <w:p w:rsidR="00520D44" w:rsidRDefault="002E1FB3" w:rsidP="00520D44">
      <w:pPr>
        <w:rPr>
          <w:b/>
        </w:rPr>
      </w:pPr>
      <w:r>
        <w:rPr>
          <w:b/>
          <w:noProof/>
          <w:lang w:eastAsia="en-GB"/>
        </w:rPr>
        <w:drawing>
          <wp:inline distT="0" distB="0" distL="0" distR="0">
            <wp:extent cx="4033157" cy="806631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_male_RR06_discadj_no1pr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3429" cy="806685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13: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0.65)</w:t>
      </w:r>
    </w:p>
    <w:p w:rsidR="00520D44" w:rsidRDefault="002E1FB3" w:rsidP="00520D44">
      <w:pPr>
        <w:rPr>
          <w:b/>
        </w:rPr>
      </w:pPr>
      <w:r>
        <w:rPr>
          <w:b/>
          <w:noProof/>
          <w:lang w:eastAsia="en-GB"/>
        </w:rPr>
        <w:drawing>
          <wp:inline distT="0" distB="0" distL="0" distR="0">
            <wp:extent cx="4027715" cy="805542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_female_RR06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9073" cy="805814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14: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w:t>
      </w:r>
    </w:p>
    <w:p w:rsidR="00520D44" w:rsidRDefault="002E1FB3" w:rsidP="00520D44">
      <w:pPr>
        <w:rPr>
          <w:b/>
        </w:rPr>
      </w:pPr>
      <w:r>
        <w:rPr>
          <w:b/>
          <w:noProof/>
          <w:lang w:eastAsia="en-GB"/>
        </w:rPr>
        <w:drawing>
          <wp:inline distT="0" distB="0" distL="0" distR="0">
            <wp:extent cx="4027715" cy="805542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_female_RR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28802" cy="8057603"/>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15: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w:t>
      </w:r>
      <w:r w:rsidR="00FF22E4">
        <w:rPr>
          <w:b/>
        </w:rPr>
        <w:t>, RR = 0.7</w:t>
      </w:r>
      <w:r>
        <w:rPr>
          <w:b/>
        </w:rPr>
        <w:t>, single prescriptions excluded)</w:t>
      </w:r>
    </w:p>
    <w:p w:rsidR="00035497" w:rsidRDefault="002E1FB3" w:rsidP="00520D44">
      <w:pPr>
        <w:rPr>
          <w:b/>
        </w:rPr>
      </w:pPr>
      <w:r>
        <w:rPr>
          <w:b/>
          <w:noProof/>
          <w:lang w:eastAsia="en-GB"/>
        </w:rPr>
        <w:drawing>
          <wp:inline distT="0" distB="0" distL="0" distR="0">
            <wp:extent cx="4005943" cy="801188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_female_RR07_no1pr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8054" cy="8016108"/>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16: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w:t>
      </w:r>
      <w:r w:rsidR="00FF22E4">
        <w:rPr>
          <w:b/>
        </w:rPr>
        <w:t>, RR = 0.65</w:t>
      </w:r>
      <w:r>
        <w:rPr>
          <w:b/>
        </w:rPr>
        <w:t>, single prescriptions excluded)</w:t>
      </w:r>
    </w:p>
    <w:p w:rsidR="00520D44" w:rsidRDefault="002E1FB3" w:rsidP="00520D44">
      <w:pPr>
        <w:rPr>
          <w:b/>
        </w:rPr>
      </w:pPr>
      <w:r>
        <w:rPr>
          <w:b/>
          <w:noProof/>
          <w:lang w:eastAsia="en-GB"/>
        </w:rPr>
        <w:drawing>
          <wp:inline distT="0" distB="0" distL="0" distR="0">
            <wp:extent cx="3978729" cy="7957457"/>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_female_RR065_no1pr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0078" cy="796015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 xml:space="preserve">17: Number of </w:t>
      </w:r>
      <w:r w:rsidRPr="00297EB1">
        <w:rPr>
          <w:rFonts w:cs="Arial"/>
          <w:color w:val="000000"/>
          <w:shd w:val="clear" w:color="auto" w:fill="FFFFFF"/>
        </w:rPr>
        <w:t xml:space="preserve">cardiovascular </w:t>
      </w:r>
      <w:r w:rsidRPr="00297EB1">
        <w:t>events prevented over the duration of follow up with different time delays in starting statins, stratified by baseline age and 10 year CVD risk using the discontinuation rates as observed in the statin cohort</w:t>
      </w:r>
      <w:r>
        <w:rPr>
          <w:b/>
        </w:rPr>
        <w:t xml:space="preserve"> (</w:t>
      </w:r>
      <w:r w:rsidR="00FF22E4">
        <w:rPr>
          <w:b/>
        </w:rPr>
        <w:t>fe</w:t>
      </w:r>
      <w:r>
        <w:rPr>
          <w:b/>
        </w:rPr>
        <w:t>male cohort, RR = 0.6, single prescriptions excluded)</w:t>
      </w:r>
    </w:p>
    <w:p w:rsidR="00520D44" w:rsidRDefault="002E1FB3" w:rsidP="00520D44">
      <w:pPr>
        <w:rPr>
          <w:b/>
        </w:rPr>
      </w:pPr>
      <w:r>
        <w:rPr>
          <w:b/>
          <w:noProof/>
          <w:lang w:eastAsia="en-GB"/>
        </w:rPr>
        <w:drawing>
          <wp:inline distT="0" distB="0" distL="0" distR="0">
            <wp:extent cx="3978729" cy="7957457"/>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_female_RR06_no1pr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3438" cy="7966874"/>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18: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0.65)  </w:t>
      </w:r>
    </w:p>
    <w:p w:rsidR="00297EB1" w:rsidRDefault="002E1FB3" w:rsidP="00520D44">
      <w:pPr>
        <w:rPr>
          <w:b/>
        </w:rPr>
      </w:pPr>
      <w:r>
        <w:rPr>
          <w:b/>
          <w:noProof/>
          <w:lang w:eastAsia="en-GB"/>
        </w:rPr>
        <w:drawing>
          <wp:inline distT="0" distB="0" distL="0" distR="0">
            <wp:extent cx="4071257" cy="814251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_female_RR065_discad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3953" cy="814790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19: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  </w:t>
      </w:r>
    </w:p>
    <w:p w:rsidR="00297EB1" w:rsidRDefault="002E1FB3" w:rsidP="00520D44">
      <w:r>
        <w:rPr>
          <w:noProof/>
          <w:lang w:eastAsia="en-GB"/>
        </w:rPr>
        <w:drawing>
          <wp:inline distT="0" distB="0" distL="0" distR="0">
            <wp:extent cx="4060372" cy="81207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_female_RR06_discad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1643" cy="8123285"/>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20: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0.7, single prescriptions excluded)  </w:t>
      </w:r>
    </w:p>
    <w:p w:rsidR="00297EB1" w:rsidRDefault="002E1FB3" w:rsidP="00520D44">
      <w:pPr>
        <w:rPr>
          <w:b/>
        </w:rPr>
      </w:pPr>
      <w:r>
        <w:rPr>
          <w:b/>
          <w:noProof/>
          <w:lang w:eastAsia="en-GB"/>
        </w:rPr>
        <w:drawing>
          <wp:inline distT="0" distB="0" distL="0" distR="0">
            <wp:extent cx="4093029" cy="8186058"/>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_female_RR07_discadj_no1pr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5043" cy="8190086"/>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21: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0.65, </w:t>
      </w:r>
      <w:r w:rsidR="00297EB1">
        <w:rPr>
          <w:b/>
        </w:rPr>
        <w:t xml:space="preserve">single prescriptions excluded) </w:t>
      </w:r>
    </w:p>
    <w:p w:rsidR="00297EB1" w:rsidRDefault="002E1FB3" w:rsidP="00520D44">
      <w:pPr>
        <w:rPr>
          <w:b/>
        </w:rPr>
      </w:pPr>
      <w:r>
        <w:rPr>
          <w:b/>
          <w:noProof/>
          <w:lang w:eastAsia="en-GB"/>
        </w:rPr>
        <w:drawing>
          <wp:inline distT="0" distB="0" distL="0" distR="0">
            <wp:extent cx="4033157" cy="8066314"/>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_female_RR065_discadj_no1pre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3610" cy="8067220"/>
                    </a:xfrm>
                    <a:prstGeom prst="rect">
                      <a:avLst/>
                    </a:prstGeom>
                  </pic:spPr>
                </pic:pic>
              </a:graphicData>
            </a:graphic>
          </wp:inline>
        </w:drawing>
      </w:r>
    </w:p>
    <w:p w:rsidR="00520D44" w:rsidRDefault="00520D44" w:rsidP="00520D44">
      <w:pPr>
        <w:rPr>
          <w:b/>
        </w:rPr>
      </w:pPr>
      <w:r w:rsidRPr="00297EB1">
        <w:lastRenderedPageBreak/>
        <w:t xml:space="preserve">Supplementary Figure </w:t>
      </w:r>
      <w:r w:rsidR="004F1651">
        <w:t>3.</w:t>
      </w:r>
      <w:r w:rsidRPr="00297EB1">
        <w:t>22: Number of cardiovascular events prevented over the duration of follow up with different time delays in starting statins, stratified by baseline age and discontinuation rate</w:t>
      </w:r>
      <w:r>
        <w:rPr>
          <w:b/>
        </w:rPr>
        <w:t xml:space="preserve"> (</w:t>
      </w:r>
      <w:r w:rsidR="00FF22E4">
        <w:rPr>
          <w:b/>
        </w:rPr>
        <w:t>fe</w:t>
      </w:r>
      <w:r>
        <w:rPr>
          <w:b/>
        </w:rPr>
        <w:t xml:space="preserve">male cohort, RR = 0.6, single prescriptions excluded)  </w:t>
      </w:r>
    </w:p>
    <w:p w:rsidR="00A0735E" w:rsidRPr="00295901" w:rsidRDefault="002E1FB3">
      <w:pPr>
        <w:rPr>
          <w:b/>
        </w:rPr>
      </w:pPr>
      <w:r>
        <w:rPr>
          <w:b/>
          <w:noProof/>
          <w:lang w:eastAsia="en-GB"/>
        </w:rPr>
        <w:drawing>
          <wp:inline distT="0" distB="0" distL="0" distR="0">
            <wp:extent cx="4076700" cy="815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_female_RR06_discadj_no1pre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7063" cy="8154126"/>
                    </a:xfrm>
                    <a:prstGeom prst="rect">
                      <a:avLst/>
                    </a:prstGeom>
                  </pic:spPr>
                </pic:pic>
              </a:graphicData>
            </a:graphic>
          </wp:inline>
        </w:drawing>
      </w:r>
    </w:p>
    <w:sectPr w:rsidR="00A0735E" w:rsidRPr="00295901">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901" w:rsidRDefault="00295901" w:rsidP="00295901">
      <w:pPr>
        <w:spacing w:after="0" w:line="240" w:lineRule="auto"/>
      </w:pPr>
      <w:r>
        <w:separator/>
      </w:r>
    </w:p>
  </w:endnote>
  <w:endnote w:type="continuationSeparator" w:id="0">
    <w:p w:rsidR="00295901" w:rsidRDefault="00295901" w:rsidP="00295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7456681"/>
      <w:docPartObj>
        <w:docPartGallery w:val="Page Numbers (Bottom of Page)"/>
        <w:docPartUnique/>
      </w:docPartObj>
    </w:sdtPr>
    <w:sdtEndPr>
      <w:rPr>
        <w:noProof/>
      </w:rPr>
    </w:sdtEndPr>
    <w:sdtContent>
      <w:p w:rsidR="00295901" w:rsidRDefault="00295901">
        <w:pPr>
          <w:pStyle w:val="Footer"/>
          <w:jc w:val="right"/>
        </w:pPr>
        <w:r>
          <w:fldChar w:fldCharType="begin"/>
        </w:r>
        <w:r>
          <w:instrText xml:space="preserve"> PAGE   \* MERGEFORMAT </w:instrText>
        </w:r>
        <w:r>
          <w:fldChar w:fldCharType="separate"/>
        </w:r>
        <w:r w:rsidR="00754576">
          <w:rPr>
            <w:noProof/>
          </w:rPr>
          <w:t>4</w:t>
        </w:r>
        <w:r>
          <w:rPr>
            <w:noProof/>
          </w:rPr>
          <w:fldChar w:fldCharType="end"/>
        </w:r>
      </w:p>
    </w:sdtContent>
  </w:sdt>
  <w:p w:rsidR="00295901" w:rsidRDefault="002959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901" w:rsidRDefault="00295901" w:rsidP="00295901">
      <w:pPr>
        <w:spacing w:after="0" w:line="240" w:lineRule="auto"/>
      </w:pPr>
      <w:r>
        <w:separator/>
      </w:r>
    </w:p>
  </w:footnote>
  <w:footnote w:type="continuationSeparator" w:id="0">
    <w:p w:rsidR="00295901" w:rsidRDefault="00295901" w:rsidP="002959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D99"/>
    <w:rsid w:val="00035497"/>
    <w:rsid w:val="00047AE7"/>
    <w:rsid w:val="000772FC"/>
    <w:rsid w:val="00077788"/>
    <w:rsid w:val="00241F43"/>
    <w:rsid w:val="0024653A"/>
    <w:rsid w:val="00295901"/>
    <w:rsid w:val="00297EB1"/>
    <w:rsid w:val="002E1FB3"/>
    <w:rsid w:val="004F1651"/>
    <w:rsid w:val="00520D44"/>
    <w:rsid w:val="005E6227"/>
    <w:rsid w:val="00614E34"/>
    <w:rsid w:val="00754576"/>
    <w:rsid w:val="00843B61"/>
    <w:rsid w:val="008E6712"/>
    <w:rsid w:val="00A0735E"/>
    <w:rsid w:val="00A844CC"/>
    <w:rsid w:val="00B8520D"/>
    <w:rsid w:val="00D51CB4"/>
    <w:rsid w:val="00EE0F07"/>
    <w:rsid w:val="00F05D99"/>
    <w:rsid w:val="00F324C6"/>
    <w:rsid w:val="00FD589C"/>
    <w:rsid w:val="00FF22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3F49B7-4534-46AF-BA78-4D56EA2A3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589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58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89C"/>
    <w:rPr>
      <w:rFonts w:ascii="Tahoma" w:hAnsi="Tahoma" w:cs="Tahoma"/>
      <w:sz w:val="16"/>
      <w:szCs w:val="16"/>
    </w:rPr>
  </w:style>
  <w:style w:type="paragraph" w:styleId="Title">
    <w:name w:val="Title"/>
    <w:basedOn w:val="Normal"/>
    <w:next w:val="Normal"/>
    <w:link w:val="TitleChar"/>
    <w:uiPriority w:val="10"/>
    <w:qFormat/>
    <w:rsid w:val="00FD589C"/>
    <w:pPr>
      <w:pBdr>
        <w:bottom w:val="single" w:sz="8" w:space="4" w:color="5B9BD5" w:themeColor="accent1"/>
      </w:pBdr>
      <w:spacing w:after="300" w:line="240" w:lineRule="auto"/>
      <w:contextualSpacing/>
    </w:pPr>
    <w:rPr>
      <w:rFonts w:ascii="Cambria" w:eastAsiaTheme="majorEastAsia" w:hAnsi="Cambria"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D589C"/>
    <w:rPr>
      <w:rFonts w:ascii="Cambria" w:eastAsiaTheme="majorEastAsia" w:hAnsi="Cambria"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FD589C"/>
    <w:rPr>
      <w:rFonts w:asciiTheme="majorHAnsi" w:eastAsiaTheme="majorEastAsia" w:hAnsiTheme="majorHAnsi" w:cstheme="majorBidi"/>
      <w:b/>
      <w:bCs/>
      <w:color w:val="2E74B5" w:themeColor="accent1" w:themeShade="BF"/>
      <w:sz w:val="28"/>
      <w:szCs w:val="28"/>
    </w:rPr>
  </w:style>
  <w:style w:type="table" w:styleId="TableGrid">
    <w:name w:val="Table Grid"/>
    <w:basedOn w:val="TableNormal"/>
    <w:uiPriority w:val="39"/>
    <w:rsid w:val="00297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5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901"/>
  </w:style>
  <w:style w:type="paragraph" w:styleId="Footer">
    <w:name w:val="footer"/>
    <w:basedOn w:val="Normal"/>
    <w:link w:val="FooterChar"/>
    <w:uiPriority w:val="99"/>
    <w:unhideWhenUsed/>
    <w:rsid w:val="00295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footer" Target="footer1.xml"/><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1434</Words>
  <Characters>8178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Alexander Pate</cp:lastModifiedBy>
  <cp:revision>2</cp:revision>
  <dcterms:created xsi:type="dcterms:W3CDTF">2020-05-01T15:57:00Z</dcterms:created>
  <dcterms:modified xsi:type="dcterms:W3CDTF">2020-05-01T15:57:00Z</dcterms:modified>
</cp:coreProperties>
</file>